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4E" w:rsidRDefault="009B2A4E" w:rsidP="000A0C58">
      <w:pPr>
        <w:jc w:val="both"/>
      </w:pPr>
    </w:p>
    <w:p w:rsidR="00047DB7" w:rsidRPr="00095FAF" w:rsidRDefault="00047DB7" w:rsidP="00047DB7">
      <w:pPr>
        <w:ind w:left="-567"/>
        <w:jc w:val="both"/>
        <w:rPr>
          <w:sz w:val="24"/>
          <w:szCs w:val="24"/>
        </w:rPr>
      </w:pPr>
      <w:r w:rsidRPr="00095FAF">
        <w:rPr>
          <w:sz w:val="24"/>
          <w:szCs w:val="24"/>
        </w:rPr>
        <w:t xml:space="preserve">Assemblée générale de l’Office vaudois de cautionnement agricole (OVCA) à </w:t>
      </w:r>
      <w:r>
        <w:rPr>
          <w:sz w:val="24"/>
          <w:szCs w:val="24"/>
        </w:rPr>
        <w:t>Grandson</w:t>
      </w:r>
    </w:p>
    <w:p w:rsidR="00047DB7" w:rsidRDefault="00047DB7" w:rsidP="00047DB7">
      <w:pPr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Le n</w:t>
      </w:r>
      <w:r w:rsidRPr="00095FAF">
        <w:rPr>
          <w:b/>
          <w:sz w:val="36"/>
          <w:szCs w:val="36"/>
        </w:rPr>
        <w:t>ombre d’examens des demandes d’aide</w:t>
      </w:r>
      <w:r w:rsidR="00264198">
        <w:rPr>
          <w:b/>
          <w:sz w:val="36"/>
          <w:szCs w:val="36"/>
        </w:rPr>
        <w:t>s</w:t>
      </w:r>
      <w:r w:rsidRPr="00095FAF">
        <w:rPr>
          <w:b/>
          <w:sz w:val="36"/>
          <w:szCs w:val="36"/>
        </w:rPr>
        <w:t xml:space="preserve"> financière</w:t>
      </w:r>
      <w:r w:rsidR="00264198">
        <w:rPr>
          <w:b/>
          <w:sz w:val="36"/>
          <w:szCs w:val="36"/>
        </w:rPr>
        <w:t>s</w:t>
      </w:r>
      <w:r w:rsidRPr="00095FAF">
        <w:rPr>
          <w:b/>
          <w:sz w:val="36"/>
          <w:szCs w:val="36"/>
        </w:rPr>
        <w:t xml:space="preserve"> en </w:t>
      </w:r>
      <w:r>
        <w:rPr>
          <w:b/>
          <w:sz w:val="36"/>
          <w:szCs w:val="36"/>
        </w:rPr>
        <w:t>légère hausse</w:t>
      </w:r>
    </w:p>
    <w:p w:rsidR="00047DB7" w:rsidRPr="000F7C14" w:rsidRDefault="00047DB7" w:rsidP="00047DB7">
      <w:pPr>
        <w:ind w:left="-567"/>
        <w:jc w:val="both"/>
        <w:rPr>
          <w:sz w:val="24"/>
          <w:szCs w:val="24"/>
        </w:rPr>
      </w:pPr>
    </w:p>
    <w:p w:rsidR="00047DB7" w:rsidRPr="00E8559D" w:rsidRDefault="00047DB7" w:rsidP="00047DB7">
      <w:pPr>
        <w:ind w:left="-567"/>
        <w:jc w:val="both"/>
        <w:rPr>
          <w:b/>
        </w:rPr>
      </w:pPr>
      <w:r>
        <w:t>(21.05.2019/AGIR</w:t>
      </w:r>
      <w:r w:rsidRPr="00E8559D">
        <w:t xml:space="preserve">) </w:t>
      </w:r>
      <w:r>
        <w:t>–</w:t>
      </w:r>
      <w:r w:rsidRPr="00E8559D">
        <w:t xml:space="preserve"> </w:t>
      </w:r>
      <w:r>
        <w:rPr>
          <w:b/>
        </w:rPr>
        <w:t>Le château de Grandson</w:t>
      </w:r>
      <w:r w:rsidRPr="00E8559D">
        <w:rPr>
          <w:b/>
        </w:rPr>
        <w:t xml:space="preserve"> a accueilli </w:t>
      </w:r>
      <w:r>
        <w:rPr>
          <w:b/>
        </w:rPr>
        <w:t>récemment</w:t>
      </w:r>
      <w:r w:rsidRPr="00E8559D">
        <w:rPr>
          <w:b/>
        </w:rPr>
        <w:t xml:space="preserve"> les membres de l’Office vaudois de cautionnement agricole (OVCA) pour leur assemblée générale </w:t>
      </w:r>
      <w:r>
        <w:rPr>
          <w:b/>
        </w:rPr>
        <w:t xml:space="preserve">annuelle </w:t>
      </w:r>
      <w:r w:rsidRPr="00E8559D">
        <w:rPr>
          <w:b/>
        </w:rPr>
        <w:t xml:space="preserve">présidée par Stéphane Jordan. Rédigé par le gérant </w:t>
      </w:r>
      <w:r>
        <w:rPr>
          <w:b/>
        </w:rPr>
        <w:t xml:space="preserve">Sébastien </w:t>
      </w:r>
      <w:proofErr w:type="spellStart"/>
      <w:r>
        <w:rPr>
          <w:b/>
        </w:rPr>
        <w:t>Chenuz</w:t>
      </w:r>
      <w:proofErr w:type="spellEnd"/>
      <w:r w:rsidRPr="00E8559D">
        <w:rPr>
          <w:b/>
        </w:rPr>
        <w:t xml:space="preserve">, le rapport </w:t>
      </w:r>
      <w:r w:rsidR="00A206FC">
        <w:rPr>
          <w:b/>
        </w:rPr>
        <w:t>de gestion</w:t>
      </w:r>
      <w:r w:rsidRPr="00E8559D">
        <w:rPr>
          <w:b/>
        </w:rPr>
        <w:t xml:space="preserve"> relève que le Conseil d’administration a examiné</w:t>
      </w:r>
      <w:r>
        <w:rPr>
          <w:b/>
        </w:rPr>
        <w:t>, en 2018</w:t>
      </w:r>
      <w:r w:rsidRPr="00E8559D">
        <w:rPr>
          <w:b/>
        </w:rPr>
        <w:t xml:space="preserve">, </w:t>
      </w:r>
      <w:r>
        <w:rPr>
          <w:b/>
        </w:rPr>
        <w:t>152 demandes d’aides financières</w:t>
      </w:r>
      <w:r w:rsidRPr="00E8559D">
        <w:rPr>
          <w:b/>
        </w:rPr>
        <w:t xml:space="preserve">, soit </w:t>
      </w:r>
      <w:r>
        <w:rPr>
          <w:b/>
        </w:rPr>
        <w:t>six de plus que l’année précédente.</w:t>
      </w:r>
    </w:p>
    <w:p w:rsidR="00047DB7" w:rsidRPr="00095FAF" w:rsidRDefault="00047DB7" w:rsidP="00047DB7">
      <w:pPr>
        <w:ind w:left="-567"/>
        <w:jc w:val="both"/>
        <w:rPr>
          <w:sz w:val="24"/>
          <w:szCs w:val="24"/>
        </w:rPr>
      </w:pPr>
    </w:p>
    <w:p w:rsidR="00047DB7" w:rsidRDefault="00047DB7" w:rsidP="00047DB7">
      <w:pPr>
        <w:ind w:left="-567"/>
        <w:jc w:val="both"/>
      </w:pPr>
      <w:r w:rsidRPr="00E8559D">
        <w:t xml:space="preserve">En préambule du </w:t>
      </w:r>
      <w:r w:rsidR="00A206FC">
        <w:t>63</w:t>
      </w:r>
      <w:r w:rsidR="00A206FC" w:rsidRPr="00A206FC">
        <w:rPr>
          <w:vertAlign w:val="superscript"/>
        </w:rPr>
        <w:t>e</w:t>
      </w:r>
      <w:r w:rsidR="00A206FC">
        <w:t xml:space="preserve"> </w:t>
      </w:r>
      <w:r w:rsidRPr="00E8559D">
        <w:t xml:space="preserve">rapport </w:t>
      </w:r>
      <w:r w:rsidR="00A206FC">
        <w:t>de gestion</w:t>
      </w:r>
      <w:r w:rsidRPr="00E8559D">
        <w:t xml:space="preserve"> de l’Office vaudois de cautionnement agricole (OVCA), le président Stéphane Jordan </w:t>
      </w:r>
      <w:r>
        <w:t>relève que l’année écoulée n’a pas été «un long fleuve tranquille». Il rappelle en effet que le manque d’eau a spécialement prétérité le secteur betteravier et a entraîné une pénurie de fourrage pour les animaux. «Nous devrons désormais tenir compte d’un certain réchauffement climatique dans nos choix technique</w:t>
      </w:r>
      <w:r w:rsidR="00264198">
        <w:t>s</w:t>
      </w:r>
      <w:r>
        <w:t xml:space="preserve"> et culturaux. Cela débouchera aussi sur de nouvelles opportunités à saisir ainsi que bon nombre d’innovations à mettre en place», note le président.</w:t>
      </w:r>
    </w:p>
    <w:p w:rsidR="00047DB7" w:rsidRDefault="00047DB7" w:rsidP="00047DB7">
      <w:pPr>
        <w:ind w:left="-567"/>
        <w:jc w:val="both"/>
      </w:pPr>
    </w:p>
    <w:p w:rsidR="00047DB7" w:rsidRDefault="00047DB7" w:rsidP="00047DB7">
      <w:pPr>
        <w:ind w:left="-567"/>
        <w:jc w:val="both"/>
      </w:pPr>
      <w:r>
        <w:t xml:space="preserve">Relevons qu’en début d’année 2018, l’ancien gérant Philippe Rossy, qui a fait valoir ses droits à la retraite, a transmis la barre à Sébastien </w:t>
      </w:r>
      <w:proofErr w:type="spellStart"/>
      <w:r>
        <w:t>Chenuz</w:t>
      </w:r>
      <w:proofErr w:type="spellEnd"/>
      <w:r>
        <w:t xml:space="preserve">. Laurent </w:t>
      </w:r>
      <w:proofErr w:type="spellStart"/>
      <w:r>
        <w:t>Cosendai</w:t>
      </w:r>
      <w:proofErr w:type="spellEnd"/>
      <w:r>
        <w:t xml:space="preserve"> a, pour sa part, rejoint en août l’équipe en qualité d’expert-conseiller.</w:t>
      </w:r>
    </w:p>
    <w:p w:rsidR="00047DB7" w:rsidRDefault="00047DB7" w:rsidP="00047DB7">
      <w:pPr>
        <w:ind w:left="-567"/>
        <w:jc w:val="both"/>
      </w:pPr>
    </w:p>
    <w:p w:rsidR="00047DB7" w:rsidRPr="00E8559D" w:rsidRDefault="00047DB7" w:rsidP="00047DB7">
      <w:pPr>
        <w:ind w:left="-567"/>
        <w:jc w:val="both"/>
      </w:pPr>
      <w:r>
        <w:rPr>
          <w:b/>
        </w:rPr>
        <w:t>L’année 2018</w:t>
      </w:r>
      <w:r w:rsidRPr="00E8559D">
        <w:rPr>
          <w:b/>
        </w:rPr>
        <w:t xml:space="preserve"> en chiffres</w:t>
      </w:r>
    </w:p>
    <w:p w:rsidR="00047DB7" w:rsidRDefault="00047DB7" w:rsidP="00047DB7">
      <w:pPr>
        <w:ind w:left="-567"/>
        <w:jc w:val="both"/>
      </w:pPr>
      <w:r w:rsidRPr="00E8559D">
        <w:t>L’a</w:t>
      </w:r>
      <w:r w:rsidR="00A206FC">
        <w:t>nnée dernière, selon le rapport</w:t>
      </w:r>
      <w:r w:rsidRPr="00E8559D">
        <w:t xml:space="preserve"> </w:t>
      </w:r>
      <w:r>
        <w:t xml:space="preserve">élaboré par Sébastien </w:t>
      </w:r>
      <w:proofErr w:type="spellStart"/>
      <w:r>
        <w:t>Chenuz</w:t>
      </w:r>
      <w:proofErr w:type="spellEnd"/>
      <w:r w:rsidRPr="00E8559D">
        <w:t xml:space="preserve">, </w:t>
      </w:r>
      <w:r>
        <w:t>152</w:t>
      </w:r>
      <w:r w:rsidRPr="00E8559D">
        <w:t xml:space="preserve"> demandes d’aide</w:t>
      </w:r>
      <w:r w:rsidR="00264198">
        <w:t>s</w:t>
      </w:r>
      <w:r w:rsidRPr="00E8559D">
        <w:t xml:space="preserve"> financière</w:t>
      </w:r>
      <w:r w:rsidR="00264198">
        <w:t>s</w:t>
      </w:r>
      <w:r w:rsidRPr="00E8559D">
        <w:t xml:space="preserve"> ont été examinées par le Conseil d’administration</w:t>
      </w:r>
      <w:r>
        <w:t>, contre 146 en 2017. Le</w:t>
      </w:r>
      <w:r w:rsidRPr="00E8559D">
        <w:t xml:space="preserve"> montant total des cautionnements en cours</w:t>
      </w:r>
      <w:r>
        <w:t>, au 31 décembre 2018</w:t>
      </w:r>
      <w:r w:rsidRPr="00E8559D">
        <w:t xml:space="preserve">, s’élevait à </w:t>
      </w:r>
      <w:r>
        <w:t xml:space="preserve">70, 498 millions. </w:t>
      </w:r>
    </w:p>
    <w:p w:rsidR="00047DB7" w:rsidRDefault="00047DB7" w:rsidP="00047DB7">
      <w:pPr>
        <w:ind w:left="-567"/>
        <w:jc w:val="both"/>
      </w:pPr>
      <w:r w:rsidRPr="00E8559D">
        <w:t>Sur c</w:t>
      </w:r>
      <w:r>
        <w:t>es 152 aides, 56</w:t>
      </w:r>
      <w:r w:rsidRPr="00E8559D">
        <w:t xml:space="preserve"> d’entre elles émanaient d’agriculteurs qui sollicitaient l’aide de l’Office pour la première fois. Parmi</w:t>
      </w:r>
      <w:r>
        <w:t xml:space="preserve"> ces nouvelles demandes, 28 </w:t>
      </w:r>
      <w:r w:rsidRPr="00E8559D">
        <w:t>provenaient d’agricult</w:t>
      </w:r>
      <w:r>
        <w:t>eurs de plaine et de collines, 15 de paysans de mon</w:t>
      </w:r>
      <w:r w:rsidR="00DF3383">
        <w:t>tagne, 7 de viticulteurs, 3 de</w:t>
      </w:r>
      <w:r>
        <w:t xml:space="preserve"> maraicher</w:t>
      </w:r>
      <w:r w:rsidR="00DF3383">
        <w:t>s</w:t>
      </w:r>
      <w:bookmarkStart w:id="0" w:name="_GoBack"/>
      <w:bookmarkEnd w:id="0"/>
      <w:r>
        <w:t xml:space="preserve"> et enfin, 3 d’</w:t>
      </w:r>
      <w:r w:rsidRPr="00E8559D">
        <w:t>arboriculteur</w:t>
      </w:r>
      <w:r>
        <w:t>s</w:t>
      </w:r>
      <w:r w:rsidRPr="00E8559D">
        <w:t xml:space="preserve">. </w:t>
      </w:r>
    </w:p>
    <w:p w:rsidR="00047DB7" w:rsidRDefault="00047DB7" w:rsidP="00047DB7">
      <w:pPr>
        <w:ind w:left="-567"/>
        <w:jc w:val="both"/>
      </w:pPr>
    </w:p>
    <w:p w:rsidR="00047DB7" w:rsidRPr="00372384" w:rsidRDefault="00047DB7" w:rsidP="00047DB7">
      <w:pPr>
        <w:ind w:left="-567"/>
        <w:jc w:val="both"/>
      </w:pPr>
      <w:r w:rsidRPr="00E8559D">
        <w:rPr>
          <w:b/>
        </w:rPr>
        <w:t>Gestion des cautionnements</w:t>
      </w:r>
    </w:p>
    <w:p w:rsidR="00047DB7" w:rsidRDefault="00047DB7" w:rsidP="00047DB7">
      <w:pPr>
        <w:ind w:left="-567"/>
        <w:jc w:val="both"/>
      </w:pPr>
      <w:r>
        <w:t xml:space="preserve">Sébastien </w:t>
      </w:r>
      <w:proofErr w:type="spellStart"/>
      <w:r>
        <w:t>Chenuz</w:t>
      </w:r>
      <w:proofErr w:type="spellEnd"/>
      <w:r>
        <w:t xml:space="preserve"> </w:t>
      </w:r>
      <w:r w:rsidR="00A206FC">
        <w:t>rappelle</w:t>
      </w:r>
      <w:r>
        <w:t xml:space="preserve"> </w:t>
      </w:r>
      <w:r w:rsidR="00A206FC">
        <w:t xml:space="preserve">aussi </w:t>
      </w:r>
      <w:r>
        <w:t>que la gestion des risques de l’OVCA repose sur quatre piliers: une analyse de la viabilité de l’exploitation; un examen des valeurs de liquidation, basées sur le PECA (Principe d’Estimation du Crédit Agricole); un suivi des comptabilités; et une méthodologie de provisionnement</w:t>
      </w:r>
      <w:r w:rsidRPr="00372384">
        <w:t xml:space="preserve"> </w:t>
      </w:r>
      <w:r>
        <w:t>qui consiste à constater comptablement le risque dès que l’OVCA est en présence d’indices quant à d’éventuelles difficultés financières du bénéficiaire du cautionnement.</w:t>
      </w:r>
    </w:p>
    <w:p w:rsidR="00047DB7" w:rsidRDefault="00047DB7" w:rsidP="00047DB7">
      <w:pPr>
        <w:ind w:left="-567"/>
        <w:jc w:val="both"/>
      </w:pPr>
    </w:p>
    <w:p w:rsidR="00047DB7" w:rsidRDefault="00047DB7" w:rsidP="00047DB7">
      <w:pPr>
        <w:ind w:left="-567"/>
        <w:jc w:val="both"/>
      </w:pPr>
      <w:r w:rsidRPr="00052EFA">
        <w:t xml:space="preserve">S’agissant de la conjoncture agricole, </w:t>
      </w:r>
      <w:r>
        <w:t>le gérant précise que, de manière générale, le marché des terrains et immeubles agricoles est stable. Il souligne cependant qu’il peut exister de grandes disparités en ce qui concerne les réalisa</w:t>
      </w:r>
      <w:r w:rsidR="00264198">
        <w:t>tions forcées</w:t>
      </w:r>
      <w:r>
        <w:t>. Et de citer par exemple un rural pour vaches laitières dans une région où la plupart des exploitations voisines bénéficient déjà de ruraux récents et fonctionnels; des halles de production animale, comme les porcheries, neuves ou anciennes ou encore les installations coûteuses liées à un savoir-faire spécifique (transformation, biogaz).</w:t>
      </w:r>
    </w:p>
    <w:p w:rsidR="00047DB7" w:rsidRPr="00052EFA" w:rsidRDefault="00047DB7" w:rsidP="00047DB7">
      <w:pPr>
        <w:ind w:left="-567"/>
        <w:jc w:val="both"/>
      </w:pPr>
      <w:r>
        <w:t>«Ces éléments conjoncturels, estime le gérant de l’OVCA, nécessiteront une évolution et un affinage à prendre en considération dans la prochaine révision de la méthode PECA, annoncée dans les mois à venir.»</w:t>
      </w:r>
    </w:p>
    <w:p w:rsidR="00047DB7" w:rsidRDefault="00047DB7" w:rsidP="00047DB7">
      <w:pPr>
        <w:ind w:left="-567"/>
        <w:jc w:val="both"/>
      </w:pPr>
    </w:p>
    <w:p w:rsidR="00047DB7" w:rsidRDefault="00047DB7" w:rsidP="00047DB7">
      <w:pPr>
        <w:ind w:left="-567"/>
        <w:jc w:val="right"/>
      </w:pPr>
      <w:r>
        <w:t>AGIR</w:t>
      </w:r>
    </w:p>
    <w:p w:rsidR="00047DB7" w:rsidRDefault="00047DB7" w:rsidP="00047DB7">
      <w:pPr>
        <w:ind w:left="-567"/>
      </w:pPr>
    </w:p>
    <w:p w:rsidR="00C0168C" w:rsidRPr="00047DB7" w:rsidRDefault="00DF3383" w:rsidP="00047DB7">
      <w:pPr>
        <w:ind w:left="-567"/>
      </w:pPr>
      <w:hyperlink r:id="rId8" w:history="1">
        <w:r w:rsidR="00047DB7" w:rsidRPr="00F92880">
          <w:rPr>
            <w:rStyle w:val="Lienhypertexte"/>
          </w:rPr>
          <w:t>www.prometerre.ch</w:t>
        </w:r>
      </w:hyperlink>
    </w:p>
    <w:sectPr w:rsidR="00C0168C" w:rsidRPr="00047DB7" w:rsidSect="00146C26">
      <w:headerReference w:type="default" r:id="rId9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BE" w:rsidRDefault="00C422BE" w:rsidP="007D2D1E">
      <w:r>
        <w:separator/>
      </w:r>
    </w:p>
  </w:endnote>
  <w:endnote w:type="continuationSeparator" w:id="0">
    <w:p w:rsidR="00C422BE" w:rsidRDefault="00C422BE" w:rsidP="007D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BE" w:rsidRDefault="00C422BE" w:rsidP="007D2D1E">
      <w:r>
        <w:separator/>
      </w:r>
    </w:p>
  </w:footnote>
  <w:footnote w:type="continuationSeparator" w:id="0">
    <w:p w:rsidR="00C422BE" w:rsidRDefault="00C422BE" w:rsidP="007D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1E" w:rsidRDefault="00146C26">
    <w:pPr>
      <w:pStyle w:val="En-tte"/>
    </w:pPr>
    <w:r>
      <w:rPr>
        <w:noProof/>
        <w:lang w:eastAsia="fr-CH"/>
      </w:rPr>
      <w:drawing>
        <wp:inline distT="0" distB="0" distL="0" distR="0" wp14:anchorId="3C4E36AC" wp14:editId="1F944944">
          <wp:extent cx="1163320" cy="853452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r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906" cy="85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606"/>
    <w:multiLevelType w:val="hybridMultilevel"/>
    <w:tmpl w:val="433CE03E"/>
    <w:lvl w:ilvl="0" w:tplc="5D52AC0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FE696A"/>
    <w:multiLevelType w:val="hybridMultilevel"/>
    <w:tmpl w:val="45869536"/>
    <w:lvl w:ilvl="0" w:tplc="F7A4E6A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1E"/>
    <w:rsid w:val="00042814"/>
    <w:rsid w:val="00047DB7"/>
    <w:rsid w:val="000815DF"/>
    <w:rsid w:val="000A0C58"/>
    <w:rsid w:val="000C5597"/>
    <w:rsid w:val="00146C26"/>
    <w:rsid w:val="0016566F"/>
    <w:rsid w:val="001845C4"/>
    <w:rsid w:val="001A546D"/>
    <w:rsid w:val="001E653D"/>
    <w:rsid w:val="00264198"/>
    <w:rsid w:val="00290E12"/>
    <w:rsid w:val="00294429"/>
    <w:rsid w:val="002B7597"/>
    <w:rsid w:val="002D3298"/>
    <w:rsid w:val="00332CF7"/>
    <w:rsid w:val="003F0420"/>
    <w:rsid w:val="0043226B"/>
    <w:rsid w:val="004441F2"/>
    <w:rsid w:val="004A3D19"/>
    <w:rsid w:val="00533698"/>
    <w:rsid w:val="00586BAC"/>
    <w:rsid w:val="005B6A8E"/>
    <w:rsid w:val="006103AF"/>
    <w:rsid w:val="00674E6F"/>
    <w:rsid w:val="006A125E"/>
    <w:rsid w:val="006F0ACC"/>
    <w:rsid w:val="0079254A"/>
    <w:rsid w:val="007D2D1E"/>
    <w:rsid w:val="008A32F0"/>
    <w:rsid w:val="00943460"/>
    <w:rsid w:val="00954B5F"/>
    <w:rsid w:val="00973327"/>
    <w:rsid w:val="009A2194"/>
    <w:rsid w:val="009B2A4E"/>
    <w:rsid w:val="009E76F7"/>
    <w:rsid w:val="00A206FC"/>
    <w:rsid w:val="00B82ECD"/>
    <w:rsid w:val="00B91AA5"/>
    <w:rsid w:val="00BA32D2"/>
    <w:rsid w:val="00BC15AE"/>
    <w:rsid w:val="00C0168C"/>
    <w:rsid w:val="00C422BE"/>
    <w:rsid w:val="00C43DE3"/>
    <w:rsid w:val="00CF3A79"/>
    <w:rsid w:val="00DB3C9D"/>
    <w:rsid w:val="00DD0FAD"/>
    <w:rsid w:val="00DF3383"/>
    <w:rsid w:val="00E71DCF"/>
    <w:rsid w:val="00F81DAC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2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D1E"/>
  </w:style>
  <w:style w:type="paragraph" w:styleId="Pieddepage">
    <w:name w:val="footer"/>
    <w:basedOn w:val="Normal"/>
    <w:link w:val="PieddepageCar"/>
    <w:uiPriority w:val="99"/>
    <w:unhideWhenUsed/>
    <w:rsid w:val="007D2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D1E"/>
  </w:style>
  <w:style w:type="paragraph" w:styleId="Textedebulles">
    <w:name w:val="Balloon Text"/>
    <w:basedOn w:val="Normal"/>
    <w:link w:val="TextedebullesCar"/>
    <w:uiPriority w:val="99"/>
    <w:semiHidden/>
    <w:unhideWhenUsed/>
    <w:rsid w:val="006103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3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03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103AF"/>
    <w:rPr>
      <w:b/>
      <w:bCs/>
    </w:rPr>
  </w:style>
  <w:style w:type="paragraph" w:styleId="Paragraphedeliste">
    <w:name w:val="List Paragraph"/>
    <w:basedOn w:val="Normal"/>
    <w:uiPriority w:val="34"/>
    <w:qFormat/>
    <w:rsid w:val="00B82E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DC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2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2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D1E"/>
  </w:style>
  <w:style w:type="paragraph" w:styleId="Pieddepage">
    <w:name w:val="footer"/>
    <w:basedOn w:val="Normal"/>
    <w:link w:val="PieddepageCar"/>
    <w:uiPriority w:val="99"/>
    <w:unhideWhenUsed/>
    <w:rsid w:val="007D2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D1E"/>
  </w:style>
  <w:style w:type="paragraph" w:styleId="Textedebulles">
    <w:name w:val="Balloon Text"/>
    <w:basedOn w:val="Normal"/>
    <w:link w:val="TextedebullesCar"/>
    <w:uiPriority w:val="99"/>
    <w:semiHidden/>
    <w:unhideWhenUsed/>
    <w:rsid w:val="006103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3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03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103AF"/>
    <w:rPr>
      <w:b/>
      <w:bCs/>
    </w:rPr>
  </w:style>
  <w:style w:type="paragraph" w:styleId="Paragraphedeliste">
    <w:name w:val="List Paragraph"/>
    <w:basedOn w:val="Normal"/>
    <w:uiPriority w:val="34"/>
    <w:qFormat/>
    <w:rsid w:val="00B82E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DC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2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terre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Agir (Tout utilisateurs)</dc:creator>
  <cp:lastModifiedBy>Tout utilisateurs Agir</cp:lastModifiedBy>
  <cp:revision>11</cp:revision>
  <cp:lastPrinted>2017-12-08T10:12:00Z</cp:lastPrinted>
  <dcterms:created xsi:type="dcterms:W3CDTF">2019-05-16T07:33:00Z</dcterms:created>
  <dcterms:modified xsi:type="dcterms:W3CDTF">2019-05-21T09:43:00Z</dcterms:modified>
</cp:coreProperties>
</file>